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1CB8F1B5"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7B5590">
        <w:rPr>
          <w:rFonts w:ascii="Times New Roman" w:eastAsia="Times New Roman" w:hAnsi="Times New Roman" w:cs="Times New Roman"/>
          <w:sz w:val="24"/>
          <w:szCs w:val="24"/>
        </w:rPr>
        <w:t>Scott Miles</w:t>
      </w:r>
      <w:r w:rsidR="00B52332">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6C86231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6C016393"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1E1550">
        <w:rPr>
          <w:rFonts w:ascii="Times New Roman" w:eastAsia="Times New Roman" w:hAnsi="Times New Roman" w:cs="Times New Roman"/>
          <w:sz w:val="24"/>
          <w:szCs w:val="24"/>
        </w:rPr>
        <w:t>July 22</w:t>
      </w:r>
      <w:r w:rsidR="00D82FD0">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2430D8CD" w14:textId="0C55EDE6" w:rsidR="003E3FA5" w:rsidRPr="003E3FA5" w:rsidRDefault="003E3FA5" w:rsidP="00AC0F73">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AD0E89" w:rsidRPr="00147CE5">
        <w:rPr>
          <w:rFonts w:ascii="Times New Roman" w:eastAsia="Times New Roman" w:hAnsi="Times New Roman" w:cs="Times New Roman"/>
          <w:bCs/>
          <w:sz w:val="24"/>
          <w:szCs w:val="24"/>
        </w:rPr>
        <w:t xml:space="preserve">Docket No. </w:t>
      </w:r>
      <w:r w:rsidR="007B5590">
        <w:rPr>
          <w:rFonts w:ascii="Times New Roman" w:eastAsia="Times New Roman" w:hAnsi="Times New Roman" w:cs="Times New Roman"/>
          <w:bCs/>
          <w:iCs/>
          <w:sz w:val="24"/>
          <w:szCs w:val="24"/>
        </w:rPr>
        <w:t>53317</w:t>
      </w:r>
      <w:r w:rsidR="00AD0E89" w:rsidRPr="00147CE5">
        <w:rPr>
          <w:rFonts w:ascii="Times New Roman" w:eastAsia="Times New Roman" w:hAnsi="Times New Roman" w:cs="Times New Roman"/>
          <w:bCs/>
          <w:i/>
          <w:iCs/>
          <w:sz w:val="24"/>
          <w:szCs w:val="24"/>
        </w:rPr>
        <w:t xml:space="preserve"> – </w:t>
      </w:r>
      <w:bookmarkEnd w:id="0"/>
      <w:r w:rsidR="00AD0E89" w:rsidRPr="00147CE5">
        <w:rPr>
          <w:rFonts w:ascii="Times New Roman" w:eastAsia="Times New Roman" w:hAnsi="Times New Roman" w:cs="Times New Roman"/>
          <w:bCs/>
          <w:i/>
          <w:iCs/>
          <w:sz w:val="24"/>
          <w:szCs w:val="24"/>
        </w:rPr>
        <w:t>Application of</w:t>
      </w:r>
      <w:r w:rsidR="00AD0E89">
        <w:rPr>
          <w:rFonts w:ascii="Times New Roman" w:eastAsia="Times New Roman" w:hAnsi="Times New Roman" w:cs="Times New Roman"/>
          <w:bCs/>
          <w:i/>
          <w:iCs/>
          <w:sz w:val="24"/>
          <w:szCs w:val="24"/>
        </w:rPr>
        <w:t xml:space="preserve"> CSWR-Texas Utility Operating Company, LLC and </w:t>
      </w:r>
      <w:r w:rsidR="007B5590">
        <w:rPr>
          <w:rFonts w:ascii="Times New Roman" w:eastAsia="Times New Roman" w:hAnsi="Times New Roman" w:cs="Times New Roman"/>
          <w:bCs/>
          <w:i/>
          <w:iCs/>
          <w:sz w:val="24"/>
          <w:szCs w:val="24"/>
        </w:rPr>
        <w:t xml:space="preserve">Jusryn Company, Inc. </w:t>
      </w:r>
      <w:r w:rsidR="001E1550">
        <w:rPr>
          <w:rFonts w:ascii="Times New Roman" w:eastAsia="Times New Roman" w:hAnsi="Times New Roman" w:cs="Times New Roman"/>
          <w:bCs/>
          <w:i/>
          <w:iCs/>
          <w:sz w:val="24"/>
          <w:szCs w:val="24"/>
        </w:rPr>
        <w:t>dba</w:t>
      </w:r>
      <w:r w:rsidR="007B5590">
        <w:rPr>
          <w:rFonts w:ascii="Times New Roman" w:eastAsia="Times New Roman" w:hAnsi="Times New Roman" w:cs="Times New Roman"/>
          <w:bCs/>
          <w:i/>
          <w:iCs/>
          <w:sz w:val="24"/>
          <w:szCs w:val="24"/>
        </w:rPr>
        <w:t xml:space="preserve"> Shady Grove Sewer System</w:t>
      </w:r>
      <w:r w:rsidR="00AD0E89">
        <w:rPr>
          <w:rFonts w:ascii="Times New Roman" w:eastAsia="Times New Roman" w:hAnsi="Times New Roman" w:cs="Times New Roman"/>
          <w:bCs/>
          <w:i/>
          <w:iCs/>
          <w:sz w:val="24"/>
          <w:szCs w:val="24"/>
        </w:rPr>
        <w:t xml:space="preserve"> </w:t>
      </w:r>
      <w:r w:rsidR="00AD0E89" w:rsidRPr="00147CE5">
        <w:rPr>
          <w:rFonts w:ascii="Times New Roman" w:eastAsia="Times New Roman" w:hAnsi="Times New Roman" w:cs="Times New Roman"/>
          <w:bCs/>
          <w:i/>
          <w:iCs/>
          <w:sz w:val="24"/>
          <w:szCs w:val="24"/>
        </w:rPr>
        <w:t xml:space="preserve">for Sale, Transfer, or Merger of Facilities and Certificate Rights in </w:t>
      </w:r>
      <w:r w:rsidR="007B5590">
        <w:rPr>
          <w:rFonts w:ascii="Times New Roman" w:eastAsia="Times New Roman" w:hAnsi="Times New Roman" w:cs="Times New Roman"/>
          <w:bCs/>
          <w:i/>
          <w:iCs/>
          <w:sz w:val="24"/>
          <w:szCs w:val="24"/>
        </w:rPr>
        <w:t xml:space="preserve">Hood </w:t>
      </w:r>
      <w:r w:rsidR="00AD0E89">
        <w:rPr>
          <w:rFonts w:ascii="Times New Roman" w:eastAsia="Times New Roman" w:hAnsi="Times New Roman" w:cs="Times New Roman"/>
          <w:bCs/>
          <w:i/>
          <w:iCs/>
          <w:sz w:val="24"/>
          <w:szCs w:val="24"/>
        </w:rPr>
        <w:t>County</w:t>
      </w:r>
    </w:p>
    <w:p w14:paraId="4018FDCF" w14:textId="77777777" w:rsidR="00AC0F73" w:rsidRDefault="00AC0F73" w:rsidP="00CF0EA1">
      <w:pPr>
        <w:spacing w:after="0" w:line="240" w:lineRule="auto"/>
        <w:ind w:firstLine="720"/>
        <w:jc w:val="both"/>
        <w:rPr>
          <w:rFonts w:ascii="Times New Roman" w:eastAsia="Times New Roman" w:hAnsi="Times New Roman" w:cs="Times New Roman"/>
          <w:sz w:val="24"/>
          <w:szCs w:val="24"/>
        </w:rPr>
      </w:pPr>
    </w:p>
    <w:p w14:paraId="5D1C4359" w14:textId="4516A8C8" w:rsidR="00AD0E89" w:rsidRDefault="00AD0E89" w:rsidP="001E1550">
      <w:pPr>
        <w:widowControl w:val="0"/>
        <w:spacing w:after="120" w:line="360" w:lineRule="auto"/>
        <w:ind w:firstLine="720"/>
        <w:jc w:val="both"/>
        <w:rPr>
          <w:rFonts w:ascii="Times New Roman" w:eastAsia="Times New Roman" w:hAnsi="Times New Roman" w:cs="Times New Roman"/>
          <w:sz w:val="24"/>
          <w:szCs w:val="24"/>
        </w:rPr>
      </w:pPr>
      <w:r w:rsidRPr="00AD0E89">
        <w:rPr>
          <w:rFonts w:ascii="Times New Roman" w:eastAsia="Times New Roman" w:hAnsi="Times New Roman" w:cs="Times New Roman"/>
          <w:sz w:val="24"/>
          <w:szCs w:val="24"/>
        </w:rPr>
        <w:t xml:space="preserve"> </w:t>
      </w:r>
      <w:r w:rsidR="001E1550" w:rsidRPr="001E1550">
        <w:rPr>
          <w:rFonts w:ascii="Times New Roman" w:eastAsia="Times New Roman" w:hAnsi="Times New Roman" w:cs="Times New Roman"/>
          <w:sz w:val="24"/>
          <w:szCs w:val="24"/>
        </w:rPr>
        <w:t xml:space="preserve">On March 9, 2022, CSWR-Texas Utility Operating Company, LLC (CSWR-Texas) and Jusryn Company, Inc. dba Shady Grove Sewer System (Shady Grove) (collectively, Applicants) filed an application for sale, transfer, or merger (STM) of facilities and certificate rights in Hood County, Texas, under Texas Water Code (TWC) § 13.301 and 16 Texas Administrative Code (TAC) § 24.239.  </w:t>
      </w:r>
    </w:p>
    <w:p w14:paraId="41C7DCC5" w14:textId="467968A2" w:rsidR="00376E5F" w:rsidRPr="00973928" w:rsidRDefault="00376E5F" w:rsidP="00CF0EA1">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TAC § 24.11. </w:t>
      </w:r>
      <w:r w:rsidR="006C6834">
        <w:rPr>
          <w:rFonts w:ascii="Times New Roman" w:eastAsia="Times New Roman" w:hAnsi="Times New Roman" w:cs="Times New Roman"/>
          <w:sz w:val="24"/>
          <w:szCs w:val="24"/>
        </w:rPr>
        <w:t>CSWR-T</w:t>
      </w:r>
      <w:r w:rsidR="00C455AF">
        <w:rPr>
          <w:rFonts w:ascii="Times New Roman" w:eastAsia="Times New Roman" w:hAnsi="Times New Roman" w:cs="Times New Roman"/>
          <w:sz w:val="24"/>
          <w:szCs w:val="24"/>
        </w:rPr>
        <w:t>exas</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CF0EA1">
      <w:pPr>
        <w:widowControl w:val="0"/>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3AAFED09" w:rsidR="00F7391A" w:rsidRPr="007351B7" w:rsidRDefault="00133D92" w:rsidP="00CF0EA1">
      <w:pPr>
        <w:widowControl w:val="0"/>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sidRPr="007351B7">
        <w:rPr>
          <w:rFonts w:ascii="Times New Roman" w:eastAsia="Times New Roman" w:hAnsi="Times New Roman" w:cs="Times New Roman"/>
          <w:sz w:val="24"/>
          <w:szCs w:val="24"/>
        </w:rPr>
        <w:t>CSWR-T</w:t>
      </w:r>
      <w:r w:rsidR="00C455AF">
        <w:rPr>
          <w:rFonts w:ascii="Times New Roman" w:eastAsia="Times New Roman" w:hAnsi="Times New Roman" w:cs="Times New Roman"/>
          <w:sz w:val="24"/>
          <w:szCs w:val="24"/>
        </w:rPr>
        <w:t>exas</w:t>
      </w:r>
      <w:r w:rsidR="00F7391A" w:rsidRPr="007351B7">
        <w:rPr>
          <w:rFonts w:ascii="Times New Roman" w:eastAsia="Times New Roman" w:hAnsi="Times New Roman" w:cs="Times New Roman"/>
          <w:sz w:val="24"/>
          <w:szCs w:val="24"/>
        </w:rPr>
        <w:t xml:space="preserve"> filed an affidavit stating that</w:t>
      </w:r>
      <w:r w:rsidR="00AF0B98">
        <w:rPr>
          <w:rFonts w:ascii="Times New Roman" w:eastAsia="Times New Roman" w:hAnsi="Times New Roman" w:cs="Times New Roman"/>
          <w:sz w:val="24"/>
          <w:szCs w:val="24"/>
        </w:rPr>
        <w:t xml:space="preserve"> </w:t>
      </w:r>
      <w:r w:rsidR="00C455AF">
        <w:rPr>
          <w:rFonts w:ascii="Times New Roman" w:eastAsia="Times New Roman" w:hAnsi="Times New Roman" w:cs="Times New Roman"/>
          <w:sz w:val="24"/>
          <w:szCs w:val="24"/>
        </w:rPr>
        <w:t xml:space="preserve">its </w:t>
      </w:r>
      <w:r w:rsidR="00EF4A13">
        <w:rPr>
          <w:rFonts w:ascii="Times New Roman" w:eastAsia="Times New Roman" w:hAnsi="Times New Roman" w:cs="Times New Roman"/>
          <w:sz w:val="24"/>
          <w:szCs w:val="24"/>
        </w:rPr>
        <w:t>affiliate</w:t>
      </w:r>
      <w:r w:rsidR="00AF0B98">
        <w:rPr>
          <w:rFonts w:ascii="Times New Roman" w:eastAsia="Times New Roman" w:hAnsi="Times New Roman" w:cs="Times New Roman"/>
          <w:sz w:val="24"/>
          <w:szCs w:val="24"/>
        </w:rPr>
        <w:t>,</w:t>
      </w:r>
      <w:r w:rsidR="00F7391A" w:rsidRPr="007351B7">
        <w:rPr>
          <w:rFonts w:ascii="Times New Roman" w:eastAsia="Times New Roman" w:hAnsi="Times New Roman" w:cs="Times New Roman"/>
          <w:sz w:val="24"/>
          <w:szCs w:val="24"/>
        </w:rPr>
        <w:t xml:space="preserve"> CSWR, LLC</w:t>
      </w:r>
      <w:r w:rsidR="00AF0B98">
        <w:rPr>
          <w:rFonts w:ascii="Times New Roman" w:eastAsia="Times New Roman" w:hAnsi="Times New Roman" w:cs="Times New Roman"/>
          <w:sz w:val="24"/>
          <w:szCs w:val="24"/>
        </w:rPr>
        <w:t>,</w:t>
      </w:r>
      <w:r w:rsidR="00F7391A" w:rsidRPr="007351B7">
        <w:rPr>
          <w:rFonts w:ascii="Times New Roman" w:eastAsia="Times New Roman" w:hAnsi="Times New Roman" w:cs="Times New Roman"/>
          <w:sz w:val="24"/>
          <w:szCs w:val="24"/>
        </w:rPr>
        <w:t xml:space="preserve"> is capable, available, and willing to cover any </w:t>
      </w:r>
      <w:r w:rsidR="007351B7" w:rsidRPr="007351B7">
        <w:rPr>
          <w:rFonts w:ascii="Times New Roman" w:eastAsia="Times New Roman" w:hAnsi="Times New Roman" w:cs="Times New Roman"/>
          <w:sz w:val="24"/>
          <w:szCs w:val="24"/>
        </w:rPr>
        <w:t>temporary cash shortages</w:t>
      </w:r>
      <w:r w:rsidR="00F7391A" w:rsidRPr="007351B7">
        <w:rPr>
          <w:rFonts w:ascii="Times New Roman" w:eastAsia="Times New Roman" w:hAnsi="Times New Roman" w:cs="Times New Roman"/>
          <w:sz w:val="24"/>
          <w:szCs w:val="24"/>
        </w:rPr>
        <w:t>.</w:t>
      </w:r>
      <w:r w:rsidR="00F7391A" w:rsidRPr="007351B7">
        <w:rPr>
          <w:rStyle w:val="FootnoteReference"/>
          <w:rFonts w:ascii="Times New Roman" w:eastAsia="Times New Roman" w:hAnsi="Times New Roman" w:cs="Times New Roman"/>
          <w:sz w:val="24"/>
          <w:szCs w:val="24"/>
        </w:rPr>
        <w:footnoteReference w:id="2"/>
      </w:r>
    </w:p>
    <w:p w14:paraId="63473F0F" w14:textId="68F15394" w:rsidR="00133D92" w:rsidRPr="00842BF1" w:rsidRDefault="00133D92" w:rsidP="00CF0EA1">
      <w:pPr>
        <w:widowControl w:val="0"/>
        <w:spacing w:after="120" w:line="360" w:lineRule="auto"/>
        <w:ind w:firstLine="720"/>
        <w:jc w:val="both"/>
        <w:rPr>
          <w:rFonts w:ascii="Times New Roman" w:eastAsia="Times New Roman" w:hAnsi="Times New Roman" w:cs="Times New Roman"/>
          <w:sz w:val="24"/>
          <w:szCs w:val="24"/>
        </w:rPr>
      </w:pPr>
      <w:r w:rsidRPr="00842BF1">
        <w:rPr>
          <w:rFonts w:ascii="Times New Roman" w:eastAsia="Times New Roman" w:hAnsi="Times New Roman" w:cs="Times New Roman"/>
          <w:sz w:val="24"/>
          <w:szCs w:val="24"/>
        </w:rPr>
        <w:t xml:space="preserve">My analysis is based on financial statements ending </w:t>
      </w:r>
      <w:r w:rsidR="00BA5465" w:rsidRPr="00842BF1">
        <w:rPr>
          <w:rFonts w:ascii="Times New Roman" w:eastAsia="Times New Roman" w:hAnsi="Times New Roman" w:cs="Times New Roman"/>
          <w:sz w:val="24"/>
          <w:szCs w:val="24"/>
        </w:rPr>
        <w:t xml:space="preserve">December 31, </w:t>
      </w:r>
      <w:r w:rsidR="00842BF1">
        <w:rPr>
          <w:rFonts w:ascii="Times New Roman" w:eastAsia="Times New Roman" w:hAnsi="Times New Roman" w:cs="Times New Roman"/>
          <w:sz w:val="24"/>
          <w:szCs w:val="24"/>
        </w:rPr>
        <w:t>202</w:t>
      </w:r>
      <w:r w:rsidR="000217BD">
        <w:rPr>
          <w:rFonts w:ascii="Times New Roman" w:eastAsia="Times New Roman" w:hAnsi="Times New Roman" w:cs="Times New Roman"/>
          <w:sz w:val="24"/>
          <w:szCs w:val="24"/>
        </w:rPr>
        <w:t>1</w:t>
      </w:r>
      <w:r w:rsidRPr="00842BF1">
        <w:rPr>
          <w:rFonts w:ascii="Times New Roman" w:eastAsia="Times New Roman" w:hAnsi="Times New Roman" w:cs="Times New Roman"/>
          <w:sz w:val="24"/>
          <w:szCs w:val="24"/>
        </w:rPr>
        <w:t xml:space="preserve">.  These financial statements contain an unqualified auditor’s opinion from </w:t>
      </w:r>
      <w:r w:rsidR="00F7391A" w:rsidRPr="00842BF1">
        <w:rPr>
          <w:rFonts w:ascii="Times New Roman" w:eastAsia="Times New Roman" w:hAnsi="Times New Roman" w:cs="Times New Roman"/>
          <w:sz w:val="24"/>
          <w:szCs w:val="24"/>
        </w:rPr>
        <w:t xml:space="preserve">RSM US LLP </w:t>
      </w:r>
      <w:r w:rsidRPr="00842BF1">
        <w:rPr>
          <w:rFonts w:ascii="Times New Roman" w:eastAsia="Times New Roman" w:hAnsi="Times New Roman" w:cs="Times New Roman"/>
          <w:sz w:val="24"/>
          <w:szCs w:val="24"/>
        </w:rPr>
        <w:t xml:space="preserve">stating that the financial statements present fairly, in all material respects, the financial position of </w:t>
      </w:r>
      <w:r w:rsidR="006C6834" w:rsidRPr="00842BF1">
        <w:rPr>
          <w:rFonts w:ascii="Times New Roman" w:eastAsia="Times New Roman" w:hAnsi="Times New Roman" w:cs="Times New Roman"/>
          <w:sz w:val="24"/>
          <w:szCs w:val="24"/>
        </w:rPr>
        <w:t>CSWR</w:t>
      </w:r>
      <w:r w:rsidR="00F7391A" w:rsidRPr="00842BF1">
        <w:rPr>
          <w:rFonts w:ascii="Times New Roman" w:eastAsia="Times New Roman" w:hAnsi="Times New Roman" w:cs="Times New Roman"/>
          <w:sz w:val="24"/>
          <w:szCs w:val="24"/>
        </w:rPr>
        <w:t>, LLC</w:t>
      </w:r>
      <w:r w:rsidRPr="00842BF1">
        <w:rPr>
          <w:rFonts w:ascii="Times New Roman" w:eastAsia="Times New Roman" w:hAnsi="Times New Roman" w:cs="Times New Roman"/>
          <w:sz w:val="24"/>
          <w:szCs w:val="24"/>
        </w:rPr>
        <w:t xml:space="preserve"> as of </w:t>
      </w:r>
      <w:r w:rsidR="00BA5465" w:rsidRPr="00842BF1">
        <w:rPr>
          <w:rFonts w:ascii="Times New Roman" w:eastAsia="Times New Roman" w:hAnsi="Times New Roman" w:cs="Times New Roman"/>
          <w:sz w:val="24"/>
          <w:szCs w:val="24"/>
        </w:rPr>
        <w:lastRenderedPageBreak/>
        <w:t xml:space="preserve">December 31, </w:t>
      </w:r>
      <w:r w:rsidR="00842BF1">
        <w:rPr>
          <w:rFonts w:ascii="Times New Roman" w:eastAsia="Times New Roman" w:hAnsi="Times New Roman" w:cs="Times New Roman"/>
          <w:sz w:val="24"/>
          <w:szCs w:val="24"/>
        </w:rPr>
        <w:t>202</w:t>
      </w:r>
      <w:r w:rsidR="000217BD">
        <w:rPr>
          <w:rFonts w:ascii="Times New Roman" w:eastAsia="Times New Roman" w:hAnsi="Times New Roman" w:cs="Times New Roman"/>
          <w:sz w:val="24"/>
          <w:szCs w:val="24"/>
        </w:rPr>
        <w:t>1</w:t>
      </w:r>
      <w:r w:rsidR="00BA5465" w:rsidRPr="00842BF1">
        <w:rPr>
          <w:rFonts w:ascii="Times New Roman" w:eastAsia="Times New Roman" w:hAnsi="Times New Roman" w:cs="Times New Roman"/>
          <w:sz w:val="24"/>
          <w:szCs w:val="24"/>
        </w:rPr>
        <w:t>.</w:t>
      </w:r>
      <w:r w:rsidR="00EF7E43" w:rsidRPr="00842BF1">
        <w:rPr>
          <w:rStyle w:val="FootnoteReference"/>
          <w:rFonts w:ascii="Times New Roman" w:eastAsia="Times New Roman" w:hAnsi="Times New Roman" w:cs="Times New Roman"/>
          <w:sz w:val="24"/>
          <w:szCs w:val="24"/>
        </w:rPr>
        <w:footnoteReference w:id="3"/>
      </w:r>
    </w:p>
    <w:p w14:paraId="20B5D911" w14:textId="3851BAFF" w:rsidR="00133D92" w:rsidRPr="00CA3E9F" w:rsidRDefault="00133D92" w:rsidP="00CF0EA1">
      <w:pPr>
        <w:widowControl w:val="0"/>
        <w:spacing w:after="120" w:line="360" w:lineRule="auto"/>
        <w:jc w:val="both"/>
        <w:rPr>
          <w:rFonts w:ascii="Times New Roman" w:eastAsia="Times New Roman" w:hAnsi="Times New Roman" w:cs="Times New Roman"/>
          <w:sz w:val="24"/>
          <w:szCs w:val="24"/>
        </w:rPr>
      </w:pPr>
      <w:r w:rsidRPr="00CA3E9F">
        <w:rPr>
          <w:rFonts w:ascii="Times New Roman" w:eastAsia="Times New Roman" w:hAnsi="Times New Roman" w:cs="Times New Roman"/>
          <w:sz w:val="24"/>
          <w:szCs w:val="24"/>
        </w:rPr>
        <w:tab/>
      </w:r>
      <w:r w:rsidR="00633C49" w:rsidRPr="00CA3E9F">
        <w:rPr>
          <w:rFonts w:ascii="Times New Roman" w:eastAsia="Times New Roman" w:hAnsi="Times New Roman" w:cs="Times New Roman"/>
          <w:sz w:val="24"/>
          <w:szCs w:val="24"/>
        </w:rPr>
        <w:t>CSWR-T</w:t>
      </w:r>
      <w:r w:rsidR="00BE5559">
        <w:rPr>
          <w:rFonts w:ascii="Times New Roman" w:eastAsia="Times New Roman" w:hAnsi="Times New Roman" w:cs="Times New Roman"/>
          <w:sz w:val="24"/>
          <w:szCs w:val="24"/>
        </w:rPr>
        <w:t>exas</w:t>
      </w:r>
      <w:r w:rsidR="00F7391A" w:rsidRPr="00CA3E9F">
        <w:rPr>
          <w:rFonts w:ascii="Times New Roman" w:eastAsia="Times New Roman" w:hAnsi="Times New Roman" w:cs="Times New Roman"/>
          <w:sz w:val="24"/>
          <w:szCs w:val="24"/>
        </w:rPr>
        <w:t xml:space="preserve"> provided </w:t>
      </w:r>
      <w:r w:rsidR="00AF0B98" w:rsidRPr="00CA3E9F">
        <w:rPr>
          <w:rFonts w:ascii="Times New Roman" w:eastAsia="Times New Roman" w:hAnsi="Times New Roman" w:cs="Times New Roman"/>
          <w:sz w:val="24"/>
          <w:szCs w:val="24"/>
        </w:rPr>
        <w:t>CSWR, LLC</w:t>
      </w:r>
      <w:r w:rsidR="00AF0B98">
        <w:rPr>
          <w:rFonts w:ascii="Times New Roman" w:eastAsia="Times New Roman" w:hAnsi="Times New Roman" w:cs="Times New Roman"/>
          <w:sz w:val="24"/>
          <w:szCs w:val="24"/>
        </w:rPr>
        <w:t>’s</w:t>
      </w:r>
      <w:r w:rsidR="00AF0B98" w:rsidRPr="00CA3E9F">
        <w:rPr>
          <w:rFonts w:ascii="Times New Roman" w:eastAsia="Times New Roman" w:hAnsi="Times New Roman" w:cs="Times New Roman"/>
          <w:sz w:val="24"/>
          <w:szCs w:val="24"/>
        </w:rPr>
        <w:t xml:space="preserve"> </w:t>
      </w:r>
      <w:r w:rsidR="00633C49" w:rsidRPr="00CA3E9F">
        <w:rPr>
          <w:rFonts w:ascii="Times New Roman" w:eastAsia="Times New Roman" w:hAnsi="Times New Roman" w:cs="Times New Roman"/>
          <w:sz w:val="24"/>
          <w:szCs w:val="24"/>
        </w:rPr>
        <w:t>financial statements</w:t>
      </w:r>
      <w:r w:rsidR="00F7391A" w:rsidRPr="00CA3E9F">
        <w:rPr>
          <w:rFonts w:ascii="Times New Roman" w:eastAsia="Times New Roman" w:hAnsi="Times New Roman" w:cs="Times New Roman"/>
          <w:sz w:val="24"/>
          <w:szCs w:val="24"/>
        </w:rPr>
        <w:t>, which demonstrate</w:t>
      </w:r>
      <w:r w:rsidR="00AF0B98">
        <w:rPr>
          <w:rFonts w:ascii="Times New Roman" w:eastAsia="Times New Roman" w:hAnsi="Times New Roman" w:cs="Times New Roman"/>
          <w:sz w:val="24"/>
          <w:szCs w:val="24"/>
        </w:rPr>
        <w:t xml:space="preserve"> a</w:t>
      </w:r>
      <w:r w:rsidR="00F7391A" w:rsidRPr="00CA3E9F">
        <w:rPr>
          <w:rFonts w:ascii="Times New Roman" w:eastAsia="Times New Roman" w:hAnsi="Times New Roman" w:cs="Times New Roman"/>
          <w:sz w:val="24"/>
          <w:szCs w:val="24"/>
        </w:rPr>
        <w:t xml:space="preserve"> </w:t>
      </w:r>
      <w:r w:rsidR="00633C49" w:rsidRPr="00CA3E9F">
        <w:rPr>
          <w:rFonts w:ascii="Times New Roman" w:eastAsia="Times New Roman" w:hAnsi="Times New Roman" w:cs="Times New Roman"/>
          <w:sz w:val="24"/>
          <w:szCs w:val="24"/>
        </w:rPr>
        <w:t>debt-to-equity ratio of 0.</w:t>
      </w:r>
      <w:r w:rsidR="00B9759E">
        <w:rPr>
          <w:rFonts w:ascii="Times New Roman" w:eastAsia="Times New Roman" w:hAnsi="Times New Roman" w:cs="Times New Roman"/>
          <w:sz w:val="24"/>
          <w:szCs w:val="24"/>
        </w:rPr>
        <w:t>11</w:t>
      </w:r>
      <w:r w:rsidR="00552DF6">
        <w:rPr>
          <w:rFonts w:ascii="Times New Roman" w:eastAsia="Times New Roman" w:hAnsi="Times New Roman" w:cs="Times New Roman"/>
          <w:sz w:val="24"/>
          <w:szCs w:val="24"/>
        </w:rPr>
        <w:t>.</w:t>
      </w:r>
      <w:r w:rsidR="00633C49" w:rsidRPr="00CA3E9F">
        <w:rPr>
          <w:rStyle w:val="FootnoteReference"/>
          <w:rFonts w:ascii="Times New Roman" w:eastAsia="Times New Roman" w:hAnsi="Times New Roman" w:cs="Times New Roman"/>
          <w:sz w:val="24"/>
          <w:szCs w:val="24"/>
        </w:rPr>
        <w:footnoteReference w:id="4"/>
      </w:r>
      <w:r w:rsidR="00552DF6">
        <w:rPr>
          <w:rFonts w:ascii="Times New Roman" w:eastAsia="Times New Roman" w:hAnsi="Times New Roman" w:cs="Times New Roman"/>
          <w:sz w:val="24"/>
          <w:szCs w:val="24"/>
        </w:rPr>
        <w:t xml:space="preserve"> </w:t>
      </w:r>
      <w:r w:rsidR="00CA3E9F">
        <w:rPr>
          <w:rFonts w:ascii="Times New Roman" w:eastAsia="Times New Roman" w:hAnsi="Times New Roman" w:cs="Times New Roman"/>
          <w:sz w:val="24"/>
          <w:szCs w:val="24"/>
        </w:rPr>
        <w:t>Because the ratio is less than one</w:t>
      </w:r>
      <w:r w:rsidR="00F7391A" w:rsidRPr="00CA3E9F">
        <w:rPr>
          <w:rFonts w:ascii="Times New Roman" w:eastAsia="Times New Roman" w:hAnsi="Times New Roman" w:cs="Times New Roman"/>
          <w:sz w:val="24"/>
          <w:szCs w:val="24"/>
        </w:rPr>
        <w:t xml:space="preserve">, I recommend a finding that </w:t>
      </w:r>
      <w:r w:rsidR="00633C49" w:rsidRPr="00CA3E9F">
        <w:rPr>
          <w:rFonts w:ascii="Times New Roman" w:eastAsia="Times New Roman" w:hAnsi="Times New Roman" w:cs="Times New Roman"/>
          <w:sz w:val="24"/>
          <w:szCs w:val="24"/>
        </w:rPr>
        <w:t>CSWR</w:t>
      </w:r>
      <w:r w:rsidR="00F7391A" w:rsidRPr="00CA3E9F">
        <w:rPr>
          <w:rFonts w:ascii="Times New Roman" w:eastAsia="Times New Roman" w:hAnsi="Times New Roman" w:cs="Times New Roman"/>
          <w:sz w:val="24"/>
          <w:szCs w:val="24"/>
        </w:rPr>
        <w:t>, LLC meets the leverage test specified in 16 TAC § 24.11(e)(2)(</w:t>
      </w:r>
      <w:r w:rsidR="00633C49" w:rsidRPr="00CA3E9F">
        <w:rPr>
          <w:rFonts w:ascii="Times New Roman" w:eastAsia="Times New Roman" w:hAnsi="Times New Roman" w:cs="Times New Roman"/>
          <w:sz w:val="24"/>
          <w:szCs w:val="24"/>
        </w:rPr>
        <w:t>A</w:t>
      </w:r>
      <w:r w:rsidR="00F7391A" w:rsidRPr="00CA3E9F">
        <w:rPr>
          <w:rFonts w:ascii="Times New Roman" w:eastAsia="Times New Roman" w:hAnsi="Times New Roman" w:cs="Times New Roman"/>
          <w:sz w:val="24"/>
          <w:szCs w:val="24"/>
        </w:rPr>
        <w:t>). Therefore, I recommend a finding that—through its affiliate—</w:t>
      </w:r>
      <w:r w:rsidR="00633C49" w:rsidRPr="00CA3E9F">
        <w:rPr>
          <w:rFonts w:ascii="Times New Roman" w:eastAsia="Times New Roman" w:hAnsi="Times New Roman" w:cs="Times New Roman"/>
          <w:sz w:val="24"/>
          <w:szCs w:val="24"/>
        </w:rPr>
        <w:t>CSWR-T</w:t>
      </w:r>
      <w:r w:rsidR="00BE5559">
        <w:rPr>
          <w:rFonts w:ascii="Times New Roman" w:eastAsia="Times New Roman" w:hAnsi="Times New Roman" w:cs="Times New Roman"/>
          <w:sz w:val="24"/>
          <w:szCs w:val="24"/>
        </w:rPr>
        <w:t>exas</w:t>
      </w:r>
      <w:r w:rsidR="00F7391A" w:rsidRPr="00CA3E9F">
        <w:rPr>
          <w:rFonts w:ascii="Times New Roman" w:eastAsia="Times New Roman" w:hAnsi="Times New Roman" w:cs="Times New Roman"/>
          <w:sz w:val="24"/>
          <w:szCs w:val="24"/>
        </w:rPr>
        <w:t xml:space="preserve"> meets the leverage test specified in 16 TAC §</w:t>
      </w:r>
      <w:r w:rsidR="00BE5559">
        <w:rPr>
          <w:rFonts w:ascii="Times New Roman" w:eastAsia="Times New Roman" w:hAnsi="Times New Roman" w:cs="Times New Roman"/>
          <w:sz w:val="24"/>
          <w:szCs w:val="24"/>
        </w:rPr>
        <w:t> </w:t>
      </w:r>
      <w:r w:rsidR="00F7391A" w:rsidRPr="00CA3E9F">
        <w:rPr>
          <w:rFonts w:ascii="Times New Roman" w:eastAsia="Times New Roman" w:hAnsi="Times New Roman" w:cs="Times New Roman"/>
          <w:sz w:val="24"/>
          <w:szCs w:val="24"/>
        </w:rPr>
        <w:t>24.11(e)(2)(E).</w:t>
      </w:r>
    </w:p>
    <w:p w14:paraId="62695412" w14:textId="3F4B02E2" w:rsidR="00376E5F" w:rsidRPr="0076246A" w:rsidRDefault="00376E5F" w:rsidP="00CF0EA1">
      <w:pPr>
        <w:widowControl w:val="0"/>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0DB1A09" w14:textId="77777777" w:rsidR="008C275C" w:rsidRPr="0072597A" w:rsidRDefault="00133D92" w:rsidP="00CF0EA1">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C275C"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8C275C" w:rsidRPr="00204D19">
        <w:rPr>
          <w:rFonts w:ascii="Times New Roman" w:eastAsia="Times New Roman" w:hAnsi="Times New Roman" w:cs="Times New Roman"/>
          <w:sz w:val="24"/>
          <w:szCs w:val="24"/>
        </w:rPr>
        <w:t>expense during the first five years of operations</w:t>
      </w:r>
      <w:r w:rsidR="008C275C">
        <w:rPr>
          <w:rFonts w:ascii="Times New Roman" w:eastAsia="Times New Roman" w:hAnsi="Times New Roman" w:cs="Times New Roman"/>
          <w:sz w:val="24"/>
          <w:szCs w:val="24"/>
        </w:rPr>
        <w:t>; or a</w:t>
      </w:r>
      <w:r w:rsidR="008C275C" w:rsidRPr="003D0026">
        <w:rPr>
          <w:rFonts w:ascii="Times New Roman" w:eastAsia="Times New Roman" w:hAnsi="Times New Roman" w:cs="Times New Roman"/>
          <w:sz w:val="24"/>
          <w:szCs w:val="24"/>
        </w:rPr>
        <w:t xml:space="preserve">n </w:t>
      </w:r>
      <w:r w:rsidR="008C275C">
        <w:rPr>
          <w:rFonts w:ascii="Times New Roman" w:eastAsia="Times New Roman" w:hAnsi="Times New Roman" w:cs="Times New Roman"/>
          <w:sz w:val="24"/>
          <w:szCs w:val="24"/>
        </w:rPr>
        <w:t xml:space="preserve">affiliated interest may provide a written guaranty of coverage of temporary cash shortages if the </w:t>
      </w:r>
      <w:r w:rsidR="008C275C" w:rsidRPr="0072597A">
        <w:rPr>
          <w:rFonts w:ascii="Times New Roman" w:eastAsia="Times New Roman" w:hAnsi="Times New Roman" w:cs="Times New Roman"/>
          <w:sz w:val="24"/>
          <w:szCs w:val="24"/>
        </w:rPr>
        <w:t>affiliated interest also satisfies the leverage test, as required by 16 TAC § 24.11(e)(3).</w:t>
      </w:r>
    </w:p>
    <w:p w14:paraId="264A93F3" w14:textId="6407C552" w:rsidR="00376E5F" w:rsidRPr="0072597A" w:rsidRDefault="00133D92" w:rsidP="00CF0EA1">
      <w:pPr>
        <w:widowControl w:val="0"/>
        <w:spacing w:after="120" w:line="360" w:lineRule="auto"/>
        <w:jc w:val="both"/>
        <w:rPr>
          <w:rFonts w:ascii="Times New Roman" w:eastAsia="Times New Roman" w:hAnsi="Times New Roman" w:cs="Times New Roman"/>
          <w:sz w:val="24"/>
          <w:szCs w:val="24"/>
        </w:rPr>
      </w:pPr>
      <w:r w:rsidRPr="0072597A">
        <w:rPr>
          <w:rFonts w:ascii="Times New Roman" w:eastAsia="Times New Roman" w:hAnsi="Times New Roman" w:cs="Times New Roman"/>
          <w:sz w:val="24"/>
          <w:szCs w:val="24"/>
        </w:rPr>
        <w:tab/>
      </w:r>
      <w:r w:rsidR="00EF7E43" w:rsidRPr="0072597A">
        <w:rPr>
          <w:rFonts w:ascii="Times New Roman" w:eastAsia="Times New Roman" w:hAnsi="Times New Roman" w:cs="Times New Roman"/>
          <w:sz w:val="24"/>
          <w:szCs w:val="24"/>
        </w:rPr>
        <w:t>C</w:t>
      </w:r>
      <w:r w:rsidR="00204D19" w:rsidRPr="0072597A">
        <w:rPr>
          <w:rFonts w:ascii="Times New Roman" w:eastAsia="Times New Roman" w:hAnsi="Times New Roman" w:cs="Times New Roman"/>
          <w:sz w:val="24"/>
          <w:szCs w:val="24"/>
        </w:rPr>
        <w:t>SWR-T</w:t>
      </w:r>
      <w:r w:rsidR="00BE5559">
        <w:rPr>
          <w:rFonts w:ascii="Times New Roman" w:eastAsia="Times New Roman" w:hAnsi="Times New Roman" w:cs="Times New Roman"/>
          <w:sz w:val="24"/>
          <w:szCs w:val="24"/>
        </w:rPr>
        <w:t>exas</w:t>
      </w:r>
      <w:r w:rsidR="00204D19" w:rsidRPr="0072597A">
        <w:rPr>
          <w:rFonts w:ascii="Times New Roman" w:eastAsia="Times New Roman" w:hAnsi="Times New Roman" w:cs="Times New Roman"/>
          <w:sz w:val="24"/>
          <w:szCs w:val="24"/>
        </w:rPr>
        <w:t xml:space="preserve">’s financial projections </w:t>
      </w:r>
      <w:r w:rsidR="0064168C" w:rsidRPr="0072597A">
        <w:rPr>
          <w:rFonts w:ascii="Times New Roman" w:eastAsia="Times New Roman" w:hAnsi="Times New Roman" w:cs="Times New Roman"/>
          <w:sz w:val="24"/>
          <w:szCs w:val="24"/>
        </w:rPr>
        <w:t>show</w:t>
      </w:r>
      <w:r w:rsidR="00204D19" w:rsidRPr="0072597A">
        <w:rPr>
          <w:rFonts w:ascii="Times New Roman" w:eastAsia="Times New Roman" w:hAnsi="Times New Roman" w:cs="Times New Roman"/>
          <w:sz w:val="24"/>
          <w:szCs w:val="24"/>
        </w:rPr>
        <w:t xml:space="preserve"> that there are no projected operations or maintenance shortages in the next five years of operations.</w:t>
      </w:r>
      <w:r w:rsidR="00204D19" w:rsidRPr="0072597A">
        <w:rPr>
          <w:rStyle w:val="FootnoteReference"/>
          <w:rFonts w:ascii="Times New Roman" w:eastAsia="Times New Roman" w:hAnsi="Times New Roman" w:cs="Times New Roman"/>
          <w:sz w:val="24"/>
          <w:szCs w:val="24"/>
        </w:rPr>
        <w:footnoteReference w:id="5"/>
      </w:r>
      <w:r w:rsidR="004037C0" w:rsidRPr="0072597A">
        <w:rPr>
          <w:rFonts w:ascii="Times New Roman" w:eastAsia="Times New Roman" w:hAnsi="Times New Roman" w:cs="Times New Roman"/>
          <w:sz w:val="24"/>
          <w:szCs w:val="24"/>
        </w:rPr>
        <w:t xml:space="preserve"> </w:t>
      </w:r>
      <w:r w:rsidR="00B815A7">
        <w:rPr>
          <w:rFonts w:ascii="Times New Roman" w:eastAsia="Times New Roman" w:hAnsi="Times New Roman" w:cs="Times New Roman"/>
          <w:sz w:val="24"/>
          <w:szCs w:val="24"/>
        </w:rPr>
        <w:t xml:space="preserve">Additionally, </w:t>
      </w:r>
      <w:r w:rsidR="00B815A7" w:rsidRPr="0072597A">
        <w:rPr>
          <w:rFonts w:ascii="Times New Roman" w:eastAsia="Times New Roman" w:hAnsi="Times New Roman" w:cs="Times New Roman"/>
          <w:sz w:val="24"/>
          <w:szCs w:val="24"/>
        </w:rPr>
        <w:t xml:space="preserve">CSWR, LLC </w:t>
      </w:r>
      <w:r w:rsidR="00B815A7">
        <w:rPr>
          <w:rFonts w:ascii="Times New Roman" w:eastAsia="Times New Roman" w:hAnsi="Times New Roman" w:cs="Times New Roman"/>
          <w:sz w:val="24"/>
          <w:szCs w:val="24"/>
        </w:rPr>
        <w:t>provided</w:t>
      </w:r>
      <w:r w:rsidR="00B815A7" w:rsidRPr="0072597A">
        <w:rPr>
          <w:rFonts w:ascii="Times New Roman" w:eastAsia="Times New Roman" w:hAnsi="Times New Roman" w:cs="Times New Roman"/>
          <w:sz w:val="24"/>
          <w:szCs w:val="24"/>
        </w:rPr>
        <w:t xml:space="preserve"> a written guarantee of coverage </w:t>
      </w:r>
      <w:r w:rsidR="00AF0B98">
        <w:rPr>
          <w:rFonts w:ascii="Times New Roman" w:eastAsia="Times New Roman" w:hAnsi="Times New Roman" w:cs="Times New Roman"/>
          <w:sz w:val="24"/>
          <w:szCs w:val="24"/>
        </w:rPr>
        <w:t>for</w:t>
      </w:r>
      <w:r w:rsidR="00AF0B98" w:rsidRPr="0072597A">
        <w:rPr>
          <w:rFonts w:ascii="Times New Roman" w:eastAsia="Times New Roman" w:hAnsi="Times New Roman" w:cs="Times New Roman"/>
          <w:sz w:val="24"/>
          <w:szCs w:val="24"/>
        </w:rPr>
        <w:t xml:space="preserve"> </w:t>
      </w:r>
      <w:r w:rsidR="00B815A7" w:rsidRPr="0072597A">
        <w:rPr>
          <w:rFonts w:ascii="Times New Roman" w:eastAsia="Times New Roman" w:hAnsi="Times New Roman" w:cs="Times New Roman"/>
          <w:sz w:val="24"/>
          <w:szCs w:val="24"/>
        </w:rPr>
        <w:t>temporary cash shortages</w:t>
      </w:r>
      <w:r w:rsidR="00B815A7">
        <w:rPr>
          <w:rFonts w:ascii="Times New Roman" w:eastAsia="Times New Roman" w:hAnsi="Times New Roman" w:cs="Times New Roman"/>
          <w:sz w:val="24"/>
          <w:szCs w:val="24"/>
        </w:rPr>
        <w:t xml:space="preserve"> and also passed the leverage test</w:t>
      </w:r>
      <w:r w:rsidR="00B815A7" w:rsidRPr="0072597A">
        <w:rPr>
          <w:rFonts w:ascii="Times New Roman" w:eastAsia="Times New Roman" w:hAnsi="Times New Roman" w:cs="Times New Roman"/>
          <w:sz w:val="24"/>
          <w:szCs w:val="24"/>
        </w:rPr>
        <w:t xml:space="preserve">. </w:t>
      </w:r>
      <w:r w:rsidR="004412BD" w:rsidRPr="0072597A">
        <w:rPr>
          <w:rFonts w:ascii="Times New Roman" w:eastAsia="Times New Roman" w:hAnsi="Times New Roman" w:cs="Times New Roman"/>
          <w:sz w:val="24"/>
          <w:szCs w:val="24"/>
        </w:rPr>
        <w:t xml:space="preserve">Therefore, I recommend a finding that </w:t>
      </w:r>
      <w:r w:rsidR="006C6834" w:rsidRPr="0072597A">
        <w:rPr>
          <w:rFonts w:ascii="Times New Roman" w:eastAsia="Times New Roman" w:hAnsi="Times New Roman" w:cs="Times New Roman"/>
          <w:sz w:val="24"/>
          <w:szCs w:val="24"/>
        </w:rPr>
        <w:t>CSWR-T</w:t>
      </w:r>
      <w:r w:rsidR="00107147">
        <w:rPr>
          <w:rFonts w:ascii="Times New Roman" w:eastAsia="Times New Roman" w:hAnsi="Times New Roman" w:cs="Times New Roman"/>
          <w:sz w:val="24"/>
          <w:szCs w:val="24"/>
        </w:rPr>
        <w:t>exas</w:t>
      </w:r>
      <w:r w:rsidR="004412BD" w:rsidRPr="0072597A">
        <w:rPr>
          <w:rFonts w:ascii="Times New Roman" w:eastAsia="Times New Roman" w:hAnsi="Times New Roman" w:cs="Times New Roman"/>
          <w:sz w:val="24"/>
          <w:szCs w:val="24"/>
        </w:rPr>
        <w:t xml:space="preserve"> meets the operations test specified in 16 TAC § 24.11(e)(3).</w:t>
      </w:r>
    </w:p>
    <w:p w14:paraId="3A3186C7" w14:textId="63BF0CF5" w:rsidR="00B9759E" w:rsidRDefault="00B9759E" w:rsidP="00CF0EA1">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3360EFD7" w14:textId="44CE3FE7" w:rsidR="00B9759E" w:rsidRDefault="004B6787" w:rsidP="00CF0EA1">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37765596" w14:textId="7236BCCF" w:rsidR="007B032A" w:rsidRPr="00B9759E" w:rsidRDefault="007B032A" w:rsidP="00CF0EA1">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applicant has filed documentation demonstrating adequate cash funding of the purchase price and planned system improvements for the </w:t>
      </w:r>
      <w:r w:rsidR="00197626">
        <w:rPr>
          <w:rFonts w:ascii="Times New Roman" w:eastAsia="Times New Roman" w:hAnsi="Times New Roman" w:cs="Times New Roman"/>
          <w:sz w:val="24"/>
          <w:szCs w:val="24"/>
        </w:rPr>
        <w:t xml:space="preserve">Shady Grove sewer </w:t>
      </w:r>
      <w:r>
        <w:rPr>
          <w:rFonts w:ascii="Times New Roman" w:eastAsia="Times New Roman" w:hAnsi="Times New Roman" w:cs="Times New Roman"/>
          <w:sz w:val="24"/>
          <w:szCs w:val="24"/>
        </w:rPr>
        <w:t>system alongside all of CSWR-T</w:t>
      </w:r>
      <w:r w:rsidR="004C2693">
        <w:rPr>
          <w:rFonts w:ascii="Times New Roman" w:eastAsia="Times New Roman" w:hAnsi="Times New Roman" w:cs="Times New Roman"/>
          <w:sz w:val="24"/>
          <w:szCs w:val="24"/>
        </w:rPr>
        <w:t>exas</w:t>
      </w:r>
      <w:r>
        <w:rPr>
          <w:rFonts w:ascii="Times New Roman" w:eastAsia="Times New Roman" w:hAnsi="Times New Roman" w:cs="Times New Roman"/>
          <w:sz w:val="24"/>
          <w:szCs w:val="24"/>
        </w:rPr>
        <w:t>’s other purchased systems and planned system improvements.</w:t>
      </w:r>
      <w:r w:rsidR="00FB23E6">
        <w:rPr>
          <w:rStyle w:val="FootnoteReference"/>
          <w:rFonts w:ascii="Times New Roman" w:eastAsia="Times New Roman" w:hAnsi="Times New Roman" w:cs="Times New Roman"/>
          <w:sz w:val="24"/>
          <w:szCs w:val="24"/>
        </w:rPr>
        <w:footnoteReference w:id="6"/>
      </w:r>
      <w:r w:rsidR="00FB23E6">
        <w:rPr>
          <w:rFonts w:ascii="Times New Roman" w:eastAsia="Times New Roman" w:hAnsi="Times New Roman" w:cs="Times New Roman"/>
          <w:sz w:val="24"/>
          <w:szCs w:val="24"/>
        </w:rPr>
        <w:t xml:space="preserve"> </w:t>
      </w:r>
      <w:r w:rsidR="002F5EF7">
        <w:rPr>
          <w:rFonts w:ascii="Times New Roman" w:eastAsia="Times New Roman" w:hAnsi="Times New Roman" w:cs="Times New Roman"/>
          <w:sz w:val="24"/>
          <w:szCs w:val="24"/>
        </w:rPr>
        <w:t>Therefore,</w:t>
      </w:r>
      <w:r w:rsidR="00FB23E6">
        <w:rPr>
          <w:rFonts w:ascii="Times New Roman" w:eastAsia="Times New Roman" w:hAnsi="Times New Roman" w:cs="Times New Roman"/>
          <w:sz w:val="24"/>
          <w:szCs w:val="24"/>
        </w:rPr>
        <w:t xml:space="preserve"> I recommend a finding that CSWR-T</w:t>
      </w:r>
      <w:r w:rsidR="004C2693">
        <w:rPr>
          <w:rFonts w:ascii="Times New Roman" w:eastAsia="Times New Roman" w:hAnsi="Times New Roman" w:cs="Times New Roman"/>
          <w:sz w:val="24"/>
          <w:szCs w:val="24"/>
        </w:rPr>
        <w:t>exas</w:t>
      </w:r>
      <w:r w:rsidR="00FB23E6">
        <w:rPr>
          <w:rFonts w:ascii="Times New Roman" w:eastAsia="Times New Roman" w:hAnsi="Times New Roman" w:cs="Times New Roman"/>
          <w:sz w:val="24"/>
          <w:szCs w:val="24"/>
        </w:rPr>
        <w:t xml:space="preserve"> satisfies the requirements of 16 TAC § 24.11(e)(5)(A).</w:t>
      </w:r>
    </w:p>
    <w:p w14:paraId="1640854D" w14:textId="74CB66BE" w:rsidR="00376E5F" w:rsidRPr="0076246A" w:rsidRDefault="00376E5F" w:rsidP="00CF0EA1">
      <w:pPr>
        <w:widowControl w:val="0"/>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lastRenderedPageBreak/>
        <w:t>Recommendation</w:t>
      </w:r>
    </w:p>
    <w:p w14:paraId="5CAD1645" w14:textId="38F64EDB" w:rsidR="00376E5F" w:rsidRPr="004037C0" w:rsidRDefault="00376E5F" w:rsidP="00CF0EA1">
      <w:pPr>
        <w:widowControl w:val="0"/>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w:t>
      </w:r>
      <w:r w:rsidR="004C2693">
        <w:rPr>
          <w:rFonts w:ascii="Times New Roman" w:eastAsia="Times New Roman" w:hAnsi="Times New Roman" w:cs="Times New Roman"/>
          <w:sz w:val="24"/>
          <w:szCs w:val="24"/>
        </w:rPr>
        <w:t>exas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667CEA72" w:rsidR="00C74679" w:rsidRPr="00376E5F" w:rsidRDefault="00133D92" w:rsidP="003958FC">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w:t>
      </w:r>
      <w:r w:rsidR="004C2693">
        <w:rPr>
          <w:rFonts w:ascii="Times New Roman" w:hAnsi="Times New Roman" w:cs="Times New Roman"/>
          <w:sz w:val="24"/>
          <w:szCs w:val="24"/>
        </w:rPr>
        <w:t>exas</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w:t>
      </w:r>
      <w:r w:rsidR="004C2693">
        <w:rPr>
          <w:rFonts w:ascii="Times New Roman" w:hAnsi="Times New Roman" w:cs="Times New Roman"/>
          <w:sz w:val="24"/>
          <w:szCs w:val="24"/>
        </w:rPr>
        <w:t>exas</w:t>
      </w:r>
      <w:r w:rsidR="00372923" w:rsidRPr="00372923">
        <w:rPr>
          <w:rFonts w:ascii="Times New Roman" w:hAnsi="Times New Roman" w:cs="Times New Roman"/>
          <w:sz w:val="24"/>
          <w:szCs w:val="24"/>
        </w:rPr>
        <w:t xml:space="preserve"> before the date of this memorandum and may not reflect any changes in </w:t>
      </w:r>
      <w:r w:rsidR="006C6834">
        <w:rPr>
          <w:rFonts w:ascii="Times New Roman" w:hAnsi="Times New Roman" w:cs="Times New Roman"/>
          <w:sz w:val="24"/>
          <w:szCs w:val="24"/>
        </w:rPr>
        <w:t>CSWR-T</w:t>
      </w:r>
      <w:r w:rsidR="004C2693">
        <w:rPr>
          <w:rFonts w:ascii="Times New Roman" w:hAnsi="Times New Roman" w:cs="Times New Roman"/>
          <w:sz w:val="24"/>
          <w:szCs w:val="24"/>
        </w:rPr>
        <w:t>exas</w:t>
      </w:r>
      <w:r w:rsidR="00372923" w:rsidRPr="00372923">
        <w:rPr>
          <w:rFonts w:ascii="Times New Roman" w:hAnsi="Times New Roman" w:cs="Times New Roman"/>
          <w:sz w:val="24"/>
          <w:szCs w:val="24"/>
        </w:rPr>
        <w:t xml:space="preserve">’s 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5B055" w14:textId="77777777" w:rsidR="00385E51" w:rsidRDefault="00385E51" w:rsidP="003E3FA5">
      <w:pPr>
        <w:spacing w:after="0" w:line="240" w:lineRule="auto"/>
      </w:pPr>
      <w:r>
        <w:separator/>
      </w:r>
    </w:p>
  </w:endnote>
  <w:endnote w:type="continuationSeparator" w:id="0">
    <w:p w14:paraId="1418D666" w14:textId="77777777" w:rsidR="00385E51" w:rsidRDefault="00385E51"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D55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D55E0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80C0" w14:textId="77777777" w:rsidR="00385E51" w:rsidRDefault="00385E51" w:rsidP="003E3FA5">
      <w:pPr>
        <w:spacing w:after="0" w:line="240" w:lineRule="auto"/>
      </w:pPr>
      <w:r>
        <w:separator/>
      </w:r>
    </w:p>
  </w:footnote>
  <w:footnote w:type="continuationSeparator" w:id="0">
    <w:p w14:paraId="0B5C7317" w14:textId="77777777" w:rsidR="00385E51" w:rsidRDefault="00385E51" w:rsidP="003E3FA5">
      <w:pPr>
        <w:spacing w:after="0" w:line="240" w:lineRule="auto"/>
      </w:pPr>
      <w:r>
        <w:continuationSeparator/>
      </w:r>
    </w:p>
  </w:footnote>
  <w:footnote w:type="continuationNotice" w:id="1">
    <w:p w14:paraId="4FB7B108" w14:textId="77777777" w:rsidR="00385E51" w:rsidRDefault="00385E51">
      <w:pPr>
        <w:spacing w:after="0" w:line="240" w:lineRule="auto"/>
      </w:pPr>
    </w:p>
  </w:footnote>
  <w:footnote w:id="2">
    <w:p w14:paraId="5EB6F241" w14:textId="2F9EE142" w:rsidR="00F7391A" w:rsidRDefault="00F7391A" w:rsidP="00F7391A">
      <w:pPr>
        <w:pStyle w:val="FootnoteText"/>
        <w:ind w:firstLine="720"/>
      </w:pPr>
      <w:r>
        <w:rPr>
          <w:rStyle w:val="FootnoteReference"/>
        </w:rPr>
        <w:footnoteRef/>
      </w:r>
      <w:r>
        <w:t xml:space="preserve">  </w:t>
      </w:r>
      <w:r w:rsidR="00214150" w:rsidRPr="003D06E7">
        <w:t>53317</w:t>
      </w:r>
      <w:r w:rsidR="00842BF1" w:rsidRPr="003D06E7">
        <w:t xml:space="preserve"> CSWR Supplemental Attachment G-1 to Application</w:t>
      </w:r>
      <w:r>
        <w:t xml:space="preserve"> at bates </w:t>
      </w:r>
      <w:r w:rsidR="00C455AF">
        <w:t xml:space="preserve">page </w:t>
      </w:r>
      <w:r w:rsidR="00842BF1">
        <w:t>6</w:t>
      </w:r>
      <w:r>
        <w:t xml:space="preserve"> (</w:t>
      </w:r>
      <w:r w:rsidR="00842BF1">
        <w:t>Jun. 20</w:t>
      </w:r>
      <w:r>
        <w:t xml:space="preserve">, 2022). </w:t>
      </w:r>
    </w:p>
  </w:footnote>
  <w:footnote w:id="3">
    <w:p w14:paraId="097333C6" w14:textId="58D19ADF" w:rsidR="00EF7E43" w:rsidRPr="00197626" w:rsidRDefault="00EF7E43" w:rsidP="00552DF6">
      <w:pPr>
        <w:pStyle w:val="FootnoteText"/>
        <w:spacing w:after="120"/>
        <w:ind w:firstLine="720"/>
      </w:pPr>
      <w:r w:rsidRPr="000217BD">
        <w:rPr>
          <w:rStyle w:val="FootnoteReference"/>
        </w:rPr>
        <w:footnoteRef/>
      </w:r>
      <w:r w:rsidRPr="000217BD">
        <w:t xml:space="preserve">  </w:t>
      </w:r>
      <w:r w:rsidR="00C455AF">
        <w:t>53317</w:t>
      </w:r>
      <w:r w:rsidR="00B9759E" w:rsidRPr="003D06E7">
        <w:t xml:space="preserve"> Supplemental</w:t>
      </w:r>
      <w:r w:rsidRPr="003D06E7">
        <w:t xml:space="preserve"> </w:t>
      </w:r>
      <w:r w:rsidR="00C455AF">
        <w:t xml:space="preserve">Confidential </w:t>
      </w:r>
      <w:r w:rsidRPr="003D06E7">
        <w:t>Attachment F</w:t>
      </w:r>
      <w:r w:rsidR="00842BF1" w:rsidRPr="003D06E7">
        <w:t xml:space="preserve"> to the Application</w:t>
      </w:r>
      <w:r w:rsidR="00FA5E02" w:rsidRPr="000217BD">
        <w:t xml:space="preserve"> </w:t>
      </w:r>
      <w:r w:rsidRPr="000217BD">
        <w:t>at bates</w:t>
      </w:r>
      <w:r w:rsidR="00C455AF">
        <w:t xml:space="preserve"> page</w:t>
      </w:r>
      <w:r w:rsidRPr="000217BD">
        <w:t xml:space="preserve"> 4 (</w:t>
      </w:r>
      <w:r w:rsidR="00842BF1" w:rsidRPr="000217BD">
        <w:t xml:space="preserve">Apr. </w:t>
      </w:r>
      <w:r w:rsidR="00FA5E02" w:rsidRPr="000217BD">
        <w:t>19</w:t>
      </w:r>
      <w:r w:rsidRPr="000217BD">
        <w:t>, 2</w:t>
      </w:r>
      <w:r w:rsidRPr="00197626">
        <w:t>022).</w:t>
      </w:r>
    </w:p>
  </w:footnote>
  <w:footnote w:id="4">
    <w:p w14:paraId="60C7351E" w14:textId="56ED8A42" w:rsidR="00633C49" w:rsidRPr="00197626" w:rsidRDefault="00633C49" w:rsidP="00AF0B98">
      <w:pPr>
        <w:pStyle w:val="FootnoteText"/>
        <w:spacing w:after="120"/>
        <w:ind w:firstLine="720"/>
      </w:pPr>
      <w:r w:rsidRPr="00197626">
        <w:rPr>
          <w:rStyle w:val="FootnoteReference"/>
        </w:rPr>
        <w:footnoteRef/>
      </w:r>
      <w:r w:rsidRPr="00197626">
        <w:t xml:space="preserve">  </w:t>
      </w:r>
      <w:r w:rsidR="00EF7E43" w:rsidRPr="00197626">
        <w:rPr>
          <w:i/>
          <w:iCs/>
        </w:rPr>
        <w:t>Id.</w:t>
      </w:r>
      <w:r w:rsidR="00EF7E43" w:rsidRPr="00197626">
        <w:t xml:space="preserve"> at bates</w:t>
      </w:r>
      <w:r w:rsidR="00C455AF">
        <w:t xml:space="preserve"> page</w:t>
      </w:r>
      <w:r w:rsidR="00EF7E43" w:rsidRPr="00197626">
        <w:t xml:space="preserve"> </w:t>
      </w:r>
      <w:r w:rsidR="00FA5E02" w:rsidRPr="00197626">
        <w:t>5</w:t>
      </w:r>
      <w:r w:rsidR="00EF7E43" w:rsidRPr="00197626">
        <w:t>.</w:t>
      </w:r>
      <w:r w:rsidR="00AF0B98">
        <w:t xml:space="preserve"> </w:t>
      </w:r>
      <w:r w:rsidR="00AF0B98" w:rsidRPr="00AF0B98">
        <w:t>The calculations</w:t>
      </w:r>
      <w:r w:rsidR="00EF4A13">
        <w:t xml:space="preserve"> </w:t>
      </w:r>
      <w:r w:rsidR="00AF0B98" w:rsidRPr="00AF0B98">
        <w:t>can be found in confidential Attachment EB-1.</w:t>
      </w:r>
    </w:p>
  </w:footnote>
  <w:footnote w:id="5">
    <w:p w14:paraId="43A2B535" w14:textId="2D4A91F0" w:rsidR="00204D19" w:rsidRPr="00750F8A" w:rsidRDefault="00204D19" w:rsidP="00552DF6">
      <w:pPr>
        <w:pStyle w:val="FootnoteText"/>
        <w:spacing w:after="120"/>
        <w:ind w:firstLine="720"/>
      </w:pPr>
      <w:r w:rsidRPr="00750F8A">
        <w:rPr>
          <w:rStyle w:val="FootnoteReference"/>
        </w:rPr>
        <w:footnoteRef/>
      </w:r>
      <w:r w:rsidRPr="00750F8A">
        <w:t xml:space="preserve">  </w:t>
      </w:r>
      <w:r w:rsidR="00197626" w:rsidRPr="003D06E7">
        <w:t xml:space="preserve">53317 Supplemental </w:t>
      </w:r>
      <w:r w:rsidR="00125224">
        <w:t xml:space="preserve">Highly Sensitive </w:t>
      </w:r>
      <w:r w:rsidR="00A76465" w:rsidRPr="003D06E7">
        <w:t>Attachment G</w:t>
      </w:r>
      <w:r w:rsidR="00A76465" w:rsidRPr="00750F8A">
        <w:t xml:space="preserve"> at bates</w:t>
      </w:r>
      <w:r w:rsidR="00125224">
        <w:t xml:space="preserve"> page</w:t>
      </w:r>
      <w:r w:rsidR="00A76465" w:rsidRPr="00750F8A">
        <w:t xml:space="preserve"> </w:t>
      </w:r>
      <w:r w:rsidR="00197626" w:rsidRPr="00750F8A">
        <w:t>2</w:t>
      </w:r>
      <w:r w:rsidR="00A76465" w:rsidRPr="00750F8A">
        <w:t xml:space="preserve"> (</w:t>
      </w:r>
      <w:r w:rsidR="00197626" w:rsidRPr="00750F8A">
        <w:t>May</w:t>
      </w:r>
      <w:r w:rsidR="00A76465" w:rsidRPr="00750F8A">
        <w:t xml:space="preserve"> </w:t>
      </w:r>
      <w:r w:rsidR="00197626" w:rsidRPr="00750F8A">
        <w:t>9</w:t>
      </w:r>
      <w:r w:rsidR="00A76465" w:rsidRPr="00750F8A">
        <w:t>, 2022).</w:t>
      </w:r>
    </w:p>
  </w:footnote>
  <w:footnote w:id="6">
    <w:p w14:paraId="63DF9212" w14:textId="195A4AD9" w:rsidR="00FB23E6" w:rsidRPr="00FB23E6" w:rsidRDefault="00FB23E6" w:rsidP="00FB23E6">
      <w:pPr>
        <w:pStyle w:val="FootnoteText"/>
        <w:ind w:firstLine="720"/>
      </w:pPr>
      <w:r w:rsidRPr="00750F8A">
        <w:rPr>
          <w:rStyle w:val="FootnoteReference"/>
        </w:rPr>
        <w:footnoteRef/>
      </w:r>
      <w:r w:rsidRPr="00750F8A">
        <w:t xml:space="preserve">  </w:t>
      </w:r>
      <w:r w:rsidRPr="00750F8A">
        <w:rPr>
          <w:i/>
          <w:iCs/>
        </w:rPr>
        <w:t>Id.</w:t>
      </w:r>
      <w:r w:rsidRPr="00750F8A">
        <w:t xml:space="preserve"> at </w:t>
      </w:r>
      <w:r w:rsidR="00AA795F">
        <w:t xml:space="preserve">bates page </w:t>
      </w:r>
      <w:r w:rsidR="00B815A7" w:rsidRPr="00750F8A">
        <w:t>8</w:t>
      </w:r>
      <w:r w:rsidRPr="00750F8A">
        <w:t>.</w:t>
      </w:r>
      <w:r w:rsidR="009713C2" w:rsidRPr="009713C2">
        <w:t xml:space="preserve"> </w:t>
      </w:r>
      <w:r w:rsidR="009713C2" w:rsidRPr="00AF0B98">
        <w:t>The calculations</w:t>
      </w:r>
      <w:r w:rsidR="00EF4A13">
        <w:t xml:space="preserve"> </w:t>
      </w:r>
      <w:r w:rsidR="009713C2" w:rsidRPr="00AF0B98">
        <w:t>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3D010A39" w:rsidR="00195A79" w:rsidRPr="002E015F" w:rsidRDefault="00363697" w:rsidP="0099083B">
    <w:pPr>
      <w:pStyle w:val="Header"/>
      <w:spacing w:after="240"/>
      <w:jc w:val="right"/>
      <w:rPr>
        <w:b/>
      </w:rPr>
    </w:pPr>
    <w:r w:rsidRPr="002E015F">
      <w:rPr>
        <w:b/>
      </w:rPr>
      <w:t xml:space="preserve">Docket No. </w:t>
    </w:r>
    <w:r w:rsidR="00907FE6">
      <w:rPr>
        <w:b/>
      </w:rPr>
      <w:t>53317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17BD"/>
    <w:rsid w:val="000658D7"/>
    <w:rsid w:val="0009457B"/>
    <w:rsid w:val="00107147"/>
    <w:rsid w:val="001102DB"/>
    <w:rsid w:val="00125224"/>
    <w:rsid w:val="0013261C"/>
    <w:rsid w:val="00133D92"/>
    <w:rsid w:val="00147CE5"/>
    <w:rsid w:val="00197626"/>
    <w:rsid w:val="001D6746"/>
    <w:rsid w:val="001E1550"/>
    <w:rsid w:val="00204D19"/>
    <w:rsid w:val="00214150"/>
    <w:rsid w:val="002149AE"/>
    <w:rsid w:val="002508CE"/>
    <w:rsid w:val="00251E0C"/>
    <w:rsid w:val="00256BA8"/>
    <w:rsid w:val="00284379"/>
    <w:rsid w:val="002A7A15"/>
    <w:rsid w:val="002B55D4"/>
    <w:rsid w:val="002F5EF7"/>
    <w:rsid w:val="00363697"/>
    <w:rsid w:val="00372923"/>
    <w:rsid w:val="00376E5F"/>
    <w:rsid w:val="003829B2"/>
    <w:rsid w:val="00385E51"/>
    <w:rsid w:val="003958FC"/>
    <w:rsid w:val="003C1F2C"/>
    <w:rsid w:val="003D06E7"/>
    <w:rsid w:val="003E3FA5"/>
    <w:rsid w:val="004037C0"/>
    <w:rsid w:val="004412BD"/>
    <w:rsid w:val="00446D9B"/>
    <w:rsid w:val="00464080"/>
    <w:rsid w:val="004929C6"/>
    <w:rsid w:val="004B6787"/>
    <w:rsid w:val="004C2693"/>
    <w:rsid w:val="00512787"/>
    <w:rsid w:val="00533AB6"/>
    <w:rsid w:val="00552DF6"/>
    <w:rsid w:val="005A4949"/>
    <w:rsid w:val="005A645F"/>
    <w:rsid w:val="005C4204"/>
    <w:rsid w:val="005C50C8"/>
    <w:rsid w:val="005E707D"/>
    <w:rsid w:val="0063274E"/>
    <w:rsid w:val="00633C49"/>
    <w:rsid w:val="00635BC4"/>
    <w:rsid w:val="00636D72"/>
    <w:rsid w:val="0064168C"/>
    <w:rsid w:val="00660C9F"/>
    <w:rsid w:val="006B6D0E"/>
    <w:rsid w:val="006C6834"/>
    <w:rsid w:val="006F5466"/>
    <w:rsid w:val="0070258A"/>
    <w:rsid w:val="0072597A"/>
    <w:rsid w:val="007351B7"/>
    <w:rsid w:val="00750F8A"/>
    <w:rsid w:val="0076246A"/>
    <w:rsid w:val="007700A2"/>
    <w:rsid w:val="007814B0"/>
    <w:rsid w:val="00792257"/>
    <w:rsid w:val="007B032A"/>
    <w:rsid w:val="007B4C9D"/>
    <w:rsid w:val="007B5590"/>
    <w:rsid w:val="007D0A6F"/>
    <w:rsid w:val="007E628F"/>
    <w:rsid w:val="00842BF1"/>
    <w:rsid w:val="00852F19"/>
    <w:rsid w:val="00891293"/>
    <w:rsid w:val="008C275C"/>
    <w:rsid w:val="008D2981"/>
    <w:rsid w:val="00902CAA"/>
    <w:rsid w:val="00907FE6"/>
    <w:rsid w:val="00961A50"/>
    <w:rsid w:val="009713C2"/>
    <w:rsid w:val="00973928"/>
    <w:rsid w:val="00A173E8"/>
    <w:rsid w:val="00A42084"/>
    <w:rsid w:val="00A76465"/>
    <w:rsid w:val="00AA795F"/>
    <w:rsid w:val="00AC0F73"/>
    <w:rsid w:val="00AC1B94"/>
    <w:rsid w:val="00AD0E89"/>
    <w:rsid w:val="00AE4987"/>
    <w:rsid w:val="00AF0B98"/>
    <w:rsid w:val="00B1090F"/>
    <w:rsid w:val="00B22B5D"/>
    <w:rsid w:val="00B52332"/>
    <w:rsid w:val="00B815A7"/>
    <w:rsid w:val="00B9759E"/>
    <w:rsid w:val="00BA5465"/>
    <w:rsid w:val="00BE5559"/>
    <w:rsid w:val="00BF176F"/>
    <w:rsid w:val="00C011C1"/>
    <w:rsid w:val="00C0242A"/>
    <w:rsid w:val="00C455AF"/>
    <w:rsid w:val="00C74679"/>
    <w:rsid w:val="00CA3E9F"/>
    <w:rsid w:val="00CE7231"/>
    <w:rsid w:val="00CF0EA1"/>
    <w:rsid w:val="00D26736"/>
    <w:rsid w:val="00D52DC0"/>
    <w:rsid w:val="00D55E09"/>
    <w:rsid w:val="00D73FFD"/>
    <w:rsid w:val="00D82FD0"/>
    <w:rsid w:val="00D9105A"/>
    <w:rsid w:val="00E054DD"/>
    <w:rsid w:val="00E616E9"/>
    <w:rsid w:val="00E8500A"/>
    <w:rsid w:val="00EB4FBD"/>
    <w:rsid w:val="00EE489A"/>
    <w:rsid w:val="00EF2CA2"/>
    <w:rsid w:val="00EF4A13"/>
    <w:rsid w:val="00EF7E43"/>
    <w:rsid w:val="00F21E89"/>
    <w:rsid w:val="00F554E5"/>
    <w:rsid w:val="00F65A84"/>
    <w:rsid w:val="00F7391A"/>
    <w:rsid w:val="00F81C5D"/>
    <w:rsid w:val="00FA4EF0"/>
    <w:rsid w:val="00FA5E02"/>
    <w:rsid w:val="00FB23E6"/>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CommentReference">
    <w:name w:val="annotation reference"/>
    <w:basedOn w:val="DefaultParagraphFont"/>
    <w:uiPriority w:val="99"/>
    <w:semiHidden/>
    <w:unhideWhenUsed/>
    <w:rsid w:val="00AF0B98"/>
    <w:rPr>
      <w:sz w:val="16"/>
      <w:szCs w:val="16"/>
    </w:rPr>
  </w:style>
  <w:style w:type="paragraph" w:styleId="CommentText">
    <w:name w:val="annotation text"/>
    <w:basedOn w:val="Normal"/>
    <w:link w:val="CommentTextChar"/>
    <w:uiPriority w:val="99"/>
    <w:semiHidden/>
    <w:unhideWhenUsed/>
    <w:rsid w:val="00AF0B98"/>
    <w:pPr>
      <w:spacing w:line="240" w:lineRule="auto"/>
    </w:pPr>
    <w:rPr>
      <w:sz w:val="20"/>
      <w:szCs w:val="20"/>
    </w:rPr>
  </w:style>
  <w:style w:type="character" w:customStyle="1" w:styleId="CommentTextChar">
    <w:name w:val="Comment Text Char"/>
    <w:basedOn w:val="DefaultParagraphFont"/>
    <w:link w:val="CommentText"/>
    <w:uiPriority w:val="99"/>
    <w:semiHidden/>
    <w:rsid w:val="00AF0B98"/>
    <w:rPr>
      <w:sz w:val="20"/>
      <w:szCs w:val="20"/>
    </w:rPr>
  </w:style>
  <w:style w:type="paragraph" w:styleId="CommentSubject">
    <w:name w:val="annotation subject"/>
    <w:basedOn w:val="CommentText"/>
    <w:next w:val="CommentText"/>
    <w:link w:val="CommentSubjectChar"/>
    <w:uiPriority w:val="99"/>
    <w:semiHidden/>
    <w:unhideWhenUsed/>
    <w:rsid w:val="00AF0B98"/>
    <w:rPr>
      <w:b/>
      <w:bCs/>
    </w:rPr>
  </w:style>
  <w:style w:type="character" w:customStyle="1" w:styleId="CommentSubjectChar">
    <w:name w:val="Comment Subject Char"/>
    <w:basedOn w:val="CommentTextChar"/>
    <w:link w:val="CommentSubject"/>
    <w:uiPriority w:val="99"/>
    <w:semiHidden/>
    <w:rsid w:val="00AF0B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355F7-CE09-48BA-9153-A2B6C3DA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3358</Characters>
  <Application>Microsoft Office Word</Application>
  <DocSecurity>0</DocSecurity>
  <Lines>27</Lines>
  <Paragraphs>7</Paragraphs>
  <ScaleCrop>false</ScaleCrop>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2022-07-22T14:48:00Z</dcterms:created>
  <dcterms:modified xsi:type="dcterms:W3CDTF">2022-07-22T14:48:00Z</dcterms:modified>
</cp:coreProperties>
</file>